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076.xml.htm"/>
      <w:bookmarkStart w:id="1" w:name="kswkform4_17870840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Buckley Sean Patrick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MAGNITE,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BROADWAY,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MAGNITE, INC.</w:t>
              </w:r>
            </w:hyperlink>
            <w:r>
              <w:rPr/>
              <w:t xml:space="preserve"> [ </w:t>
            </w:r>
            <w:r>
              <w:rPr>
                <w:rFonts w:ascii="Times;serif" w:hAnsi="Times;serif"/>
                <w:color w:val="0000FF"/>
                <w:sz w:val="24"/>
                <w:shd w:fill="FFFFFF" w:val="clear"/>
              </w:rPr>
              <w:t>MGNI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11,715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24.73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304,090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8,271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24.31</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295,819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2,759</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293,060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non-discretionary forfeiture of shares on behalf of the Reporting Person pursuant to an arrangement mandated by the Issuer to cover the tax withholding obligations associated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transaction was effected pursuant to a Rule 10b5-1 trading plan adopted by the Reporting Person on September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$24.05 to $24.55,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Revenue &amp; Market Strategy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Saltz,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5116" TargetMode="External"/><Relationship Id="rId5" Type="http://schemas.openxmlformats.org/officeDocument/2006/relationships/hyperlink" Target="http://www.sec.gov/cgi-bin/browse-edgar?action=getcompany&amp;CIK=0001595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3907</Characters>
  <CharactersWithSpaces>4542</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